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sz w:val="22"/>
          <w:szCs w:val="22"/>
        </w:rPr>
        <w:t>1. Fonctions générales</w:t>
      </w:r>
    </w:p>
    <w:p>
      <w:pPr>
        <w:pStyle w:val="Normal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/>
      </w:pPr>
      <w:r>
        <w:rPr/>
        <w:t xml:space="preserve">Le Responsable technique </w:t>
      </w:r>
      <w:r>
        <w:rPr>
          <w:color w:val="0000DC"/>
        </w:rPr>
        <w:t>suppléant</w:t>
      </w:r>
      <w:r>
        <w:rPr/>
        <w:t xml:space="preserve"> </w:t>
      </w:r>
      <w:r>
        <w:rPr>
          <w:lang w:eastAsia="zh-TW"/>
        </w:rPr>
        <w:t xml:space="preserve">assume l'entière responsabilité de l'exécution des activités de contrôle </w:t>
      </w:r>
      <w:r>
        <w:rPr>
          <w:color w:val="0000DC"/>
          <w:lang w:eastAsia="zh-TW"/>
        </w:rPr>
        <w:t>en l’absence du Responsable Technique</w:t>
      </w:r>
    </w:p>
    <w:p>
      <w:pPr>
        <w:pStyle w:val="Normal"/>
        <w:spacing w:before="120" w:after="0"/>
        <w:jc w:val="both"/>
        <w:rPr/>
      </w:pPr>
      <w:r>
        <w:rPr>
          <w:b/>
          <w:bCs/>
          <w:sz w:val="22"/>
          <w:szCs w:val="22"/>
        </w:rPr>
        <w:t>2. Responsabilités permanentes attribuées au suppléant</w:t>
      </w:r>
    </w:p>
    <w:p>
      <w:pPr>
        <w:pStyle w:val="Normal"/>
        <w:spacing w:before="120" w:after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  <w:u w:val="single" w:color="FFFFFF"/>
        </w:rPr>
        <w:t>Équipements</w:t>
      </w:r>
    </w:p>
    <w:p>
      <w:pPr>
        <w:pStyle w:val="Normal"/>
        <w:jc w:val="both"/>
        <w:rPr/>
      </w:pPr>
      <w:r>
        <w:rPr>
          <w:sz w:val="22"/>
          <w:szCs w:val="22"/>
        </w:rPr>
        <w:t>Veille au bon fonctionnement et à la bonne utilisation des équipements</w:t>
      </w:r>
    </w:p>
    <w:p>
      <w:pPr>
        <w:pStyle w:val="Normal"/>
        <w:jc w:val="both"/>
        <w:rPr/>
      </w:pPr>
      <w:r>
        <w:rPr>
          <w:sz w:val="22"/>
          <w:szCs w:val="22"/>
        </w:rPr>
        <w:t>Assurer le suivi des contrats de maintenances</w:t>
      </w:r>
    </w:p>
    <w:p>
      <w:pPr>
        <w:pStyle w:val="Normal"/>
        <w:jc w:val="both"/>
        <w:rPr/>
      </w:pPr>
      <w:r>
        <w:rPr>
          <w:sz w:val="22"/>
          <w:szCs w:val="22"/>
        </w:rPr>
        <w:t>Décider des mises en quarantaine des équipements défectueux</w:t>
      </w:r>
    </w:p>
    <w:p>
      <w:pPr>
        <w:pStyle w:val="Normal"/>
        <w:jc w:val="both"/>
        <w:rPr/>
      </w:pPr>
      <w:r>
        <w:rPr>
          <w:sz w:val="22"/>
          <w:szCs w:val="22"/>
        </w:rPr>
        <w:t>Identifier et gérer (avec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le RQ) les non conformités et les actions correctives liées aux équipements mises en œuvre </w:t>
      </w:r>
    </w:p>
    <w:p>
      <w:pPr>
        <w:pStyle w:val="Normal"/>
        <w:jc w:val="both"/>
        <w:rPr/>
      </w:pPr>
      <w:r>
        <w:rPr>
          <w:sz w:val="22"/>
          <w:szCs w:val="22"/>
        </w:rPr>
        <w:t>Assurer la formation du personnel technique sur les équipements</w:t>
      </w:r>
    </w:p>
    <w:p>
      <w:pPr>
        <w:pStyle w:val="Normal"/>
        <w:jc w:val="both"/>
        <w:rPr/>
      </w:pPr>
      <w:r>
        <w:rPr>
          <w:color w:val="0000DC"/>
          <w:sz w:val="22"/>
          <w:szCs w:val="22"/>
          <w:u w:val="single" w:color="FFFFFF"/>
        </w:rPr>
        <w:t>Activité de contrôle technique</w:t>
      </w:r>
    </w:p>
    <w:p>
      <w:pPr>
        <w:pStyle w:val="Normal"/>
        <w:jc w:val="both"/>
        <w:rPr/>
      </w:pPr>
      <w:r>
        <w:rPr>
          <w:sz w:val="22"/>
          <w:szCs w:val="22"/>
        </w:rPr>
        <w:t>Veiller à la qualité des contrôles techniques</w:t>
      </w:r>
    </w:p>
    <w:p>
      <w:pPr>
        <w:pStyle w:val="Normal"/>
        <w:jc w:val="both"/>
        <w:rPr/>
      </w:pPr>
      <w:r>
        <w:rPr>
          <w:sz w:val="22"/>
          <w:szCs w:val="22"/>
        </w:rPr>
        <w:t>Veiller à la conformité des contrôles techniques avec la réglementation</w:t>
      </w:r>
    </w:p>
    <w:p>
      <w:pPr>
        <w:pStyle w:val="Normal"/>
        <w:jc w:val="both"/>
        <w:rPr/>
      </w:pPr>
      <w:r>
        <w:rPr>
          <w:sz w:val="22"/>
          <w:szCs w:val="22"/>
        </w:rPr>
        <w:t>Vérifier la validité, la mise à jour et l’utilisation des documentations techniques</w:t>
      </w:r>
    </w:p>
    <w:p>
      <w:pPr>
        <w:pStyle w:val="Normal"/>
        <w:jc w:val="both"/>
        <w:rPr/>
      </w:pPr>
      <w:r>
        <w:rPr>
          <w:sz w:val="22"/>
          <w:szCs w:val="22"/>
        </w:rPr>
        <w:t>Appliquer et faire appliquer les procédures techniques en vigueur dans l'entreprise</w:t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Organiser, réaliser ou faire réaliser les </w:t>
      </w:r>
      <w:r>
        <w:rPr>
          <w:color w:val="0000DC"/>
          <w:sz w:val="22"/>
          <w:szCs w:val="22"/>
        </w:rPr>
        <w:t>surveillances</w:t>
      </w:r>
      <w:r>
        <w:rPr>
          <w:sz w:val="22"/>
          <w:szCs w:val="22"/>
        </w:rPr>
        <w:t xml:space="preserve"> des contrôleurs</w:t>
      </w:r>
    </w:p>
    <w:p>
      <w:pPr>
        <w:pStyle w:val="Normal"/>
        <w:jc w:val="both"/>
        <w:rPr/>
      </w:pPr>
      <w:r>
        <w:rPr>
          <w:color w:val="0000DC"/>
          <w:sz w:val="22"/>
          <w:szCs w:val="22"/>
        </w:rPr>
        <w:t>Identifier et gérer (avec le RQ) les non conformités et les actions correctives, voire les signalements de pression indue, etc.</w:t>
      </w:r>
      <w:r>
        <w:rPr/>
        <w:t xml:space="preserve"> </w:t>
      </w:r>
    </w:p>
    <w:p>
      <w:pPr>
        <w:pStyle w:val="Normal"/>
        <w:spacing w:before="120" w:after="0"/>
        <w:jc w:val="both"/>
        <w:rPr/>
      </w:pPr>
      <w:r>
        <w:rPr>
          <w:b/>
          <w:bCs/>
          <w:sz w:val="22"/>
          <w:szCs w:val="22"/>
        </w:rPr>
        <w:t>3. Délégations</w:t>
      </w:r>
    </w:p>
    <w:p>
      <w:pPr>
        <w:pStyle w:val="Normal"/>
        <w:spacing w:before="120" w:after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>Il a accès à tous les documents et les personnes impliquées dans l’activité de contrôle</w:t>
      </w:r>
    </w:p>
    <w:p>
      <w:pPr>
        <w:pStyle w:val="Normal"/>
        <w:spacing w:before="120" w:after="0"/>
        <w:jc w:val="both"/>
        <w:rPr/>
      </w:pPr>
      <w:r>
        <w:rPr>
          <w:b/>
          <w:bCs/>
          <w:sz w:val="22"/>
          <w:szCs w:val="22"/>
        </w:rPr>
        <w:t>4. Relations hiérarchiques</w:t>
      </w:r>
    </w:p>
    <w:p>
      <w:pPr>
        <w:pStyle w:val="Normal"/>
        <w:spacing w:before="120" w:after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>Sous la responsabilité de l’exploitant</w:t>
      </w:r>
    </w:p>
    <w:p>
      <w:pPr>
        <w:pStyle w:val="Normal"/>
        <w:spacing w:before="120" w:after="0"/>
        <w:jc w:val="both"/>
        <w:rPr/>
      </w:pPr>
      <w:r>
        <w:rPr>
          <w:b/>
          <w:bCs/>
          <w:sz w:val="22"/>
          <w:szCs w:val="22"/>
        </w:rPr>
        <w:t>5. Relations fonctionnelles</w:t>
      </w:r>
    </w:p>
    <w:p>
      <w:pPr>
        <w:pStyle w:val="Normal"/>
        <w:spacing w:before="120" w:after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>Toute l’activité technique du centre et tous les contrôleurs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120" w:after="120"/>
        <w:jc w:val="both"/>
        <w:rPr>
          <w:b/>
          <w:bCs/>
          <w:color w:val="0000DC"/>
          <w:sz w:val="22"/>
          <w:szCs w:val="22"/>
        </w:rPr>
      </w:pPr>
      <w:r>
        <w:rPr>
          <w:b/>
          <w:bCs/>
          <w:sz w:val="22"/>
          <w:szCs w:val="22"/>
        </w:rPr>
        <w:t xml:space="preserve">6. Critères de </w:t>
      </w:r>
      <w:r>
        <w:rPr>
          <w:b/>
          <w:bCs/>
          <w:color w:val="0000DC"/>
          <w:sz w:val="22"/>
          <w:szCs w:val="22"/>
        </w:rPr>
        <w:t>compétences</w:t>
      </w:r>
    </w:p>
    <w:tbl>
      <w:tblPr>
        <w:tblW w:w="10445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496"/>
        <w:gridCol w:w="7948"/>
      </w:tblGrid>
      <w:tr>
        <w:trPr>
          <w:trHeight w:val="375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</w:r>
          </w:p>
        </w:tc>
        <w:tc>
          <w:tcPr>
            <w:tcW w:w="79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FF"/>
                <w:sz w:val="20"/>
                <w:szCs w:val="20"/>
              </w:rPr>
              <w:t>Critères de compétence</w:t>
            </w:r>
          </w:p>
        </w:tc>
      </w:tr>
      <w:tr>
        <w:trPr>
          <w:trHeight w:val="540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Formation initiale</w:t>
            </w:r>
          </w:p>
        </w:tc>
        <w:tc>
          <w:tcPr>
            <w:tcW w:w="7948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color w:val="000000"/>
                <w:sz w:val="20"/>
                <w:szCs w:val="20"/>
              </w:rPr>
              <w:t xml:space="preserve">- Formations </w:t>
            </w:r>
            <w:r>
              <w:rPr>
                <w:color w:val="0000DC"/>
                <w:sz w:val="20"/>
                <w:szCs w:val="20"/>
              </w:rPr>
              <w:t>en qualité de contrôleur technique</w:t>
            </w:r>
            <w:r>
              <w:rPr>
                <w:color w:val="000000"/>
                <w:sz w:val="20"/>
                <w:szCs w:val="20"/>
              </w:rPr>
              <w:t xml:space="preserve"> conformes aux points A et B de l’annexe IV de l’AM du 27/07/2004 en vigueur.</w:t>
            </w:r>
          </w:p>
          <w:p>
            <w:pPr>
              <w:pStyle w:val="Normal"/>
              <w:rPr/>
            </w:pPr>
            <w:r>
              <w:rPr>
                <w:color w:val="000000"/>
                <w:sz w:val="20"/>
                <w:szCs w:val="20"/>
              </w:rPr>
              <w:t>-Le RT et son suppléant sont au moins aussi qualifiés que les contrôleurs qu’ils encadrent.</w:t>
            </w:r>
          </w:p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75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Formation complémentaire</w:t>
            </w:r>
          </w:p>
        </w:tc>
        <w:tc>
          <w:tcPr>
            <w:tcW w:w="79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color w:val="000000"/>
                <w:sz w:val="20"/>
                <w:szCs w:val="20"/>
              </w:rPr>
              <w:t>- Formations B2XL, véhicules énergie gaz</w:t>
            </w:r>
          </w:p>
        </w:tc>
      </w:tr>
      <w:tr>
        <w:trPr>
          <w:trHeight w:val="375" w:hRule="atLeast"/>
        </w:trPr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color w:val="0000FF"/>
                <w:sz w:val="20"/>
                <w:szCs w:val="20"/>
              </w:rPr>
              <w:t>Aptitudes</w:t>
            </w:r>
          </w:p>
        </w:tc>
        <w:tc>
          <w:tcPr>
            <w:tcW w:w="7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color w:val="0000FF"/>
                <w:sz w:val="20"/>
                <w:szCs w:val="20"/>
              </w:rPr>
              <w:t>Ponctualité</w:t>
            </w:r>
          </w:p>
          <w:p>
            <w:pPr>
              <w:pStyle w:val="Normal"/>
              <w:rPr/>
            </w:pPr>
            <w:r>
              <w:rPr>
                <w:color w:val="0000FF"/>
                <w:sz w:val="20"/>
                <w:szCs w:val="20"/>
              </w:rPr>
              <w:t>Autonomie</w:t>
            </w:r>
          </w:p>
          <w:p>
            <w:pPr>
              <w:pStyle w:val="Normal"/>
              <w:rPr/>
            </w:pPr>
            <w:r>
              <w:rPr>
                <w:color w:val="0000FF"/>
                <w:sz w:val="20"/>
                <w:szCs w:val="20"/>
              </w:rPr>
              <w:t>Sens de l’organisation et des responsabilités</w:t>
            </w:r>
          </w:p>
          <w:p>
            <w:pPr>
              <w:pStyle w:val="Normal"/>
              <w:rPr/>
            </w:pPr>
            <w:r>
              <w:rPr>
                <w:color w:val="0000FF"/>
                <w:sz w:val="20"/>
                <w:szCs w:val="20"/>
              </w:rPr>
              <w:t>Capacités relationnelles</w:t>
            </w:r>
          </w:p>
        </w:tc>
      </w:tr>
      <w:tr>
        <w:trPr>
          <w:trHeight w:val="1016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color w:val="0000FF"/>
                <w:sz w:val="20"/>
                <w:szCs w:val="20"/>
              </w:rPr>
              <w:t>Expérience professionnelle</w:t>
            </w:r>
          </w:p>
        </w:tc>
        <w:tc>
          <w:tcPr>
            <w:tcW w:w="794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color w:val="000000"/>
                <w:sz w:val="20"/>
                <w:szCs w:val="20"/>
                <w:shd w:fill="auto" w:val="clear"/>
              </w:rPr>
              <w:t>Expérience de 12 mois au moins dans un centre de contrôle en tant que contrôleur et/ou contrôleur stagiaire. Soit à partir du 01/04/2024 pour Gabriel.</w:t>
            </w:r>
          </w:p>
        </w:tc>
      </w:tr>
      <w:tr>
        <w:trPr>
          <w:trHeight w:val="630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color w:val="0000FF"/>
                <w:sz w:val="20"/>
                <w:szCs w:val="20"/>
              </w:rPr>
              <w:t>Formation continue</w:t>
            </w:r>
          </w:p>
        </w:tc>
        <w:tc>
          <w:tcPr>
            <w:tcW w:w="79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color w:val="000000"/>
                <w:sz w:val="20"/>
                <w:szCs w:val="20"/>
              </w:rPr>
              <w:t xml:space="preserve">- Formations </w:t>
            </w:r>
            <w:r>
              <w:rPr>
                <w:color w:val="0000DC"/>
                <w:sz w:val="20"/>
                <w:szCs w:val="20"/>
              </w:rPr>
              <w:t>en qualité de contrôleur technique de maintien de qualification</w:t>
            </w:r>
            <w:r>
              <w:rPr>
                <w:color w:val="000000"/>
                <w:sz w:val="20"/>
                <w:szCs w:val="20"/>
              </w:rPr>
              <w:t xml:space="preserve"> conformes au point C ou D de l’annexe IV de l’AM du 27/07/2004 en vigueur</w:t>
            </w:r>
          </w:p>
        </w:tc>
      </w:tr>
    </w:tbl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7. Procédure en cas d’absence du Responsable Technique applicable jusqu’au 31/03/2024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Monsieur Orlandi n’étant habilité que Q1 et Q2, l’activité de contrôle des véhicule TM</w:t>
      </w:r>
      <w:r>
        <w:rPr/>
        <w:t>D</w:t>
      </w:r>
      <w:r>
        <w:rPr/>
        <w:t xml:space="preserve"> est suspendue en l’absence du contrôleur habilité Q3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L’exploitant s’engage à limiter les absences du RT à moins de 10 jours, néanmoins celui-ci restera joignable par téléphone au 06 04 44 56 28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Lors des absences du RT et jusqu’au 31/03/2024, en cas de question technique, Monsieur ORLANDI pourra également se rapprocher de la société Auto’nome et plus particulièrement de son Responsable Technique PL : Monsieur LEJEUNE.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567" w:right="567" w:gutter="0" w:header="567" w:top="1002" w:footer="567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36"/>
        <w:tab w:val="left" w:pos="7655" w:leader="none"/>
        <w:tab w:val="right" w:pos="9072" w:leader="none"/>
      </w:tabs>
      <w:jc w:val="right"/>
      <w:rPr/>
    </w:pPr>
    <w:r>
      <w:rPr>
        <w:b/>
        <w:sz w:val="18"/>
      </w:rPr>
      <w:t>221 D</w:t>
    </w:r>
    <w:bookmarkStart w:id="0" w:name="_GoBack"/>
    <w:bookmarkEnd w:id="0"/>
    <w:r>
      <w:rPr>
        <w:b/>
        <w:sz w:val="18"/>
      </w:rPr>
      <w:t xml:space="preserve"> </w:t>
    </w:r>
    <w:r>
      <w:rPr>
        <w:b/>
        <w:szCs w:val="22"/>
      </w:rPr>
      <w:t xml:space="preserve">- </w:t>
    </w:r>
    <w:r>
      <w:rPr>
        <w:b/>
        <w:sz w:val="20"/>
        <w:szCs w:val="22"/>
      </w:rPr>
      <w:t>Version au 18/11/2023</w:t>
    </w:r>
    <w:r>
      <w:rPr>
        <w:szCs w:val="22"/>
      </w:rPr>
      <w:tab/>
      <w:tab/>
    </w:r>
    <w:r>
      <w:rPr>
        <w:b/>
        <w:sz w:val="20"/>
        <w:szCs w:val="20"/>
      </w:rPr>
      <w:t xml:space="preserve">Page </w:t>
    </w:r>
    <w:r>
      <w:rPr>
        <w:b/>
        <w:sz w:val="20"/>
        <w:szCs w:val="20"/>
      </w:rPr>
      <w:fldChar w:fldCharType="begin"/>
    </w:r>
    <w:r>
      <w:rPr>
        <w:sz w:val="20"/>
        <w:b/>
        <w:szCs w:val="20"/>
      </w:rPr>
      <w:instrText xml:space="preserve"> PAGE </w:instrText>
    </w:r>
    <w:r>
      <w:rPr>
        <w:sz w:val="20"/>
        <w:b/>
        <w:szCs w:val="20"/>
      </w:rPr>
      <w:fldChar w:fldCharType="separate"/>
    </w:r>
    <w:r>
      <w:rPr>
        <w:sz w:val="20"/>
        <w:b/>
        <w:szCs w:val="20"/>
      </w:rPr>
      <w:t>2</w:t>
    </w:r>
    <w:r>
      <w:rPr>
        <w:sz w:val="20"/>
        <w:b/>
        <w:szCs w:val="20"/>
      </w:rPr>
      <w:fldChar w:fldCharType="end"/>
    </w:r>
    <w:r>
      <w:rPr>
        <w:b/>
        <w:sz w:val="20"/>
        <w:szCs w:val="20"/>
      </w:rPr>
      <w:t xml:space="preserve"> sur </w:t>
    </w:r>
    <w:r>
      <w:rPr>
        <w:b/>
        <w:sz w:val="20"/>
        <w:szCs w:val="20"/>
      </w:rPr>
      <w:fldChar w:fldCharType="begin"/>
    </w:r>
    <w:r>
      <w:rPr>
        <w:sz w:val="20"/>
        <w:b/>
        <w:szCs w:val="20"/>
      </w:rPr>
      <w:instrText xml:space="preserve"> NUMPAGES </w:instrText>
    </w:r>
    <w:r>
      <w:rPr>
        <w:sz w:val="20"/>
        <w:b/>
        <w:szCs w:val="20"/>
      </w:rPr>
      <w:fldChar w:fldCharType="separate"/>
    </w:r>
    <w:r>
      <w:rPr>
        <w:sz w:val="20"/>
        <w:b/>
        <w:szCs w:val="20"/>
      </w:rPr>
      <w:t>2</w:t>
    </w:r>
    <w:r>
      <w:rPr>
        <w:sz w:val="20"/>
        <w:b/>
        <w:szCs w:val="20"/>
      </w:rPr>
      <w:fldChar w:fldCharType="end"/>
    </w:r>
    <w:r>
      <w:rPr>
        <w:b/>
        <w:sz w:val="20"/>
        <w:szCs w:val="20"/>
      </w:rPr>
      <w:tab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36"/>
        <w:tab w:val="left" w:pos="7655" w:leader="none"/>
        <w:tab w:val="right" w:pos="9072" w:leader="none"/>
      </w:tabs>
      <w:jc w:val="right"/>
      <w:rPr/>
    </w:pPr>
    <w:r>
      <w:rPr>
        <w:b/>
        <w:sz w:val="18"/>
      </w:rPr>
      <w:t>221 D</w:t>
    </w:r>
    <w:bookmarkStart w:id="1" w:name="_GoBack"/>
    <w:bookmarkEnd w:id="1"/>
    <w:r>
      <w:rPr>
        <w:b/>
        <w:sz w:val="18"/>
      </w:rPr>
      <w:t xml:space="preserve"> </w:t>
    </w:r>
    <w:r>
      <w:rPr>
        <w:b/>
        <w:szCs w:val="22"/>
      </w:rPr>
      <w:t xml:space="preserve">- </w:t>
    </w:r>
    <w:r>
      <w:rPr>
        <w:b/>
        <w:sz w:val="20"/>
        <w:szCs w:val="22"/>
      </w:rPr>
      <w:t>Version au 18/11/2023</w:t>
    </w:r>
    <w:r>
      <w:rPr>
        <w:szCs w:val="22"/>
      </w:rPr>
      <w:tab/>
      <w:tab/>
    </w:r>
    <w:r>
      <w:rPr>
        <w:b/>
        <w:sz w:val="20"/>
        <w:szCs w:val="20"/>
      </w:rPr>
      <w:t xml:space="preserve">Page </w:t>
    </w:r>
    <w:r>
      <w:rPr>
        <w:b/>
        <w:sz w:val="20"/>
        <w:szCs w:val="20"/>
      </w:rPr>
      <w:fldChar w:fldCharType="begin"/>
    </w:r>
    <w:r>
      <w:rPr>
        <w:sz w:val="20"/>
        <w:b/>
        <w:szCs w:val="20"/>
      </w:rPr>
      <w:instrText xml:space="preserve"> PAGE </w:instrText>
    </w:r>
    <w:r>
      <w:rPr>
        <w:sz w:val="20"/>
        <w:b/>
        <w:szCs w:val="20"/>
      </w:rPr>
      <w:fldChar w:fldCharType="separate"/>
    </w:r>
    <w:r>
      <w:rPr>
        <w:sz w:val="20"/>
        <w:b/>
        <w:szCs w:val="20"/>
      </w:rPr>
      <w:t>2</w:t>
    </w:r>
    <w:r>
      <w:rPr>
        <w:sz w:val="20"/>
        <w:b/>
        <w:szCs w:val="20"/>
      </w:rPr>
      <w:fldChar w:fldCharType="end"/>
    </w:r>
    <w:r>
      <w:rPr>
        <w:b/>
        <w:sz w:val="20"/>
        <w:szCs w:val="20"/>
      </w:rPr>
      <w:t xml:space="preserve"> sur </w:t>
    </w:r>
    <w:r>
      <w:rPr>
        <w:b/>
        <w:sz w:val="20"/>
        <w:szCs w:val="20"/>
      </w:rPr>
      <w:fldChar w:fldCharType="begin"/>
    </w:r>
    <w:r>
      <w:rPr>
        <w:sz w:val="20"/>
        <w:b/>
        <w:szCs w:val="20"/>
      </w:rPr>
      <w:instrText xml:space="preserve"> NUMPAGES </w:instrText>
    </w:r>
    <w:r>
      <w:rPr>
        <w:sz w:val="20"/>
        <w:b/>
        <w:szCs w:val="20"/>
      </w:rPr>
      <w:fldChar w:fldCharType="separate"/>
    </w:r>
    <w:r>
      <w:rPr>
        <w:sz w:val="20"/>
        <w:b/>
        <w:szCs w:val="20"/>
      </w:rPr>
      <w:t>2</w:t>
    </w:r>
    <w:r>
      <w:rPr>
        <w:sz w:val="20"/>
        <w:b/>
        <w:szCs w:val="20"/>
      </w:rPr>
      <w:fldChar w:fldCharType="end"/>
    </w:r>
    <w:r>
      <w:rPr>
        <w:b/>
        <w:sz w:val="20"/>
        <w:szCs w:val="20"/>
      </w:rPr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uppressAutoHyphens w:val="false"/>
      <w:spacing w:before="0" w:after="20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Description de fonction RESPONSABLE TECHNIQUE SUPPLÉANT : </w:t>
      <w:br/>
    </w:r>
    <w:r>
      <w:rPr>
        <w:rFonts w:eastAsia="Times New Roman" w:cs="Calibri" w:ascii="Calibri" w:hAnsi="Calibri"/>
        <w:b/>
        <w:sz w:val="22"/>
        <w:szCs w:val="22"/>
        <w:lang w:val="fr-FR" w:eastAsia="fr-FR"/>
      </w:rPr>
      <w:t>ORLANDI Gabriel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uppressAutoHyphens w:val="false"/>
      <w:spacing w:before="0" w:after="20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Description de fonction RESPONSABLE TECHNIQUE SUPPLÉANT : </w:t>
      <w:br/>
    </w:r>
    <w:r>
      <w:rPr>
        <w:rFonts w:eastAsia="Times New Roman" w:cs="Calibri" w:ascii="Calibri" w:hAnsi="Calibri"/>
        <w:b/>
        <w:sz w:val="22"/>
        <w:szCs w:val="22"/>
        <w:lang w:val="fr-FR" w:eastAsia="fr-FR"/>
      </w:rPr>
      <w:t>ORLANDI Gabriel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Times New Roman" w:hAnsi="Times New Roman" w:eastAsia="Times New Roman" w:cs="Times New Roman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2z0" w:customStyle="1">
    <w:name w:val="WW8Num2z0"/>
    <w:qFormat/>
    <w:rPr>
      <w:rFonts w:ascii="Times New Roman" w:hAnsi="Times New Roman" w:eastAsia="Times New Roman" w:cs="Times New Roman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3z3" w:customStyle="1">
    <w:name w:val="WW8Num3z3"/>
    <w:qFormat/>
    <w:rPr>
      <w:rFonts w:ascii="Symbol" w:hAnsi="Symbol" w:cs="Symbol"/>
    </w:rPr>
  </w:style>
  <w:style w:type="character" w:styleId="WW8Num4z0" w:customStyle="1">
    <w:name w:val="WW8Num4z0"/>
    <w:qFormat/>
    <w:rPr>
      <w:rFonts w:ascii="Times New Roman" w:hAnsi="Times New Roman" w:eastAsia="Times New Roman" w:cs="Times New Roman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5z0" w:customStyle="1">
    <w:name w:val="WW8Num5z0"/>
    <w:qFormat/>
    <w:rPr>
      <w:rFonts w:ascii="Times New Roman" w:hAnsi="Times New Roman" w:eastAsia="Times New Roman" w:cs="Times New Roman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Policepardfaut1" w:customStyle="1">
    <w:name w:val="Police par défaut1"/>
    <w:qFormat/>
    <w:rPr/>
  </w:style>
  <w:style w:type="character" w:styleId="Pagenumber">
    <w:name w:val="page number"/>
    <w:basedOn w:val="Policepardfaut1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Titre1" w:customStyle="1">
    <w:name w:val="Titre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En-tteetpieddepage" w:customStyle="1">
    <w:name w:val="En-tête et pied de pag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ontenudetableau" w:customStyle="1">
    <w:name w:val="Contenu de tableau"/>
    <w:basedOn w:val="Normal"/>
    <w:qFormat/>
    <w:pPr>
      <w:widowControl w:val="false"/>
      <w:suppressLineNumbers/>
    </w:pPr>
    <w:rPr/>
  </w:style>
  <w:style w:type="paragraph" w:styleId="Titredetableau" w:customStyle="1">
    <w:name w:val="Titre de tableau"/>
    <w:basedOn w:val="Contenudetableau"/>
    <w:qFormat/>
    <w:pPr>
      <w:jc w:val="center"/>
    </w:pPr>
    <w:rPr>
      <w:b/>
      <w:bCs/>
    </w:rPr>
  </w:style>
  <w:style w:type="paragraph" w:styleId="CTPL35Texte10" w:customStyle="1">
    <w:name w:val="CTPL35 Texte10"/>
    <w:qFormat/>
    <w:pPr>
      <w:widowControl w:val="false"/>
      <w:suppressAutoHyphens w:val="true"/>
      <w:bidi w:val="0"/>
      <w:spacing w:before="0" w:after="0"/>
      <w:jc w:val="both"/>
    </w:pPr>
    <w:rPr>
      <w:rFonts w:ascii="Carlito" w:hAnsi="Carlito" w:eastAsia="DejaVu Sans" w:cs="FreeSans"/>
      <w:color w:val="000000"/>
      <w:kern w:val="0"/>
      <w:sz w:val="20"/>
      <w:szCs w:val="24"/>
      <w:lang w:val="fr-FR" w:eastAsia="zh-CN" w:bidi="hi-IN"/>
    </w:rPr>
  </w:style>
  <w:style w:type="paragraph" w:styleId="CTPL35Texte8" w:customStyle="1">
    <w:name w:val="CTPL35 Texte8"/>
    <w:basedOn w:val="CTPL35Texte10"/>
    <w:qFormat/>
    <w:pPr/>
    <w:rPr>
      <w:sz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">
              <a:schemeClr val="phClr">
                <a:tint val="37000"/>
              </a:schemeClr>
            </a:gs>
            <a:gs pos="1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">
              <a:schemeClr val="phClr">
                <a:shade val="93000"/>
              </a:schemeClr>
            </a:gs>
            <a:gs pos="1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/>
        <a:ln w="25400" cap="flat" cmpd="sng" algn="ctr"/>
        <a:ln w="3810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">
              <a:schemeClr val="phClr">
                <a:tint val="45000"/>
                <a:shade val="99000"/>
              </a:schemeClr>
            </a:gs>
            <a:gs pos="1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LibreOffice/7.6.0.3$Windows_X86_64 LibreOffice_project/69edd8b8ebc41d00b4de3915dc82f8f0fc3b6265</Application>
  <AppVersion>15.0000</AppVersion>
  <Pages>2</Pages>
  <Words>442</Words>
  <Characters>2559</Characters>
  <CharactersWithSpaces>2965</CharactersWithSpaces>
  <Paragraphs>46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2022-12-29T15:22:00Z</dcterms:created>
  <dc:creator>BERNARD DEMOULIN</dc:creator>
  <dc:description/>
  <dc:language>fr-FR</dc:language>
  <cp:lastModifiedBy/>
  <cp:lastPrinted>1900-12-31T23:00:00Z</cp:lastPrinted>
  <dcterms:modified xsi:type="dcterms:W3CDTF">2024-04-18T14:53:15Z</dcterms:modified>
  <cp:revision>12</cp:revision>
  <dc:subject/>
  <dc:title>Définition de fonction Exploitant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